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idowControl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2023年度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初中级经济考试</w:t>
      </w:r>
      <w:r>
        <w:rPr>
          <w:rFonts w:ascii="Times New Roman" w:hAnsi="Times New Roman" w:eastAsia="方正小标宋简体" w:cs="Times New Roman"/>
          <w:sz w:val="44"/>
          <w:szCs w:val="44"/>
        </w:rPr>
        <w:t>时间安排</w:t>
      </w:r>
    </w:p>
    <w:tbl>
      <w:tblPr>
        <w:tblStyle w:val="4"/>
        <w:tblW w:w="7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</w:t>
            </w: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</w:t>
            </w: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日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</w:t>
            </w: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上午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08:30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10:00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10:40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12:10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11月1</w:t>
            </w:r>
            <w:r>
              <w:rPr>
                <w:rFonts w:ascii="Times New Roman" w:hAnsi="Times New Roman" w:eastAsia="仿宋" w:cs="Times New Roman"/>
                <w:spacing w:val="-1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spacing w:val="-1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14:00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15:30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16:10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－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17:40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《专业知识和实务》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（各专业类别的批次划分待考试报名结束后确定）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05C27"/>
    <w:rsid w:val="38F05C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2023-07-27T01:14:00Z</dcterms:created>
  <dc:creator>admin</dc:creator>
  <cp:lastModifiedBy>admin</cp:lastModifiedBy>
  <dcterms:modified xsi:type="dcterms:W3CDTF">2023-07-27T01:15:22Z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